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0"/>
        </w:rPr>
        <w:t xml:space="preserve">Courageous Aging Book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8"/>
          <w:szCs w:val="28"/>
          <w:highlight w:val="white"/>
          <w:rtl w:val="0"/>
        </w:rPr>
        <w:t xml:space="preserve">Lead-in Points &amp; Interview Questions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sz w:val="19"/>
          <w:szCs w:val="1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The name of your book, Courageous Aging, implies that aging may be something that takes courage to deal with. 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From your assessment of how people age these days, is there any truth to the ideas of “40 is the new 30,” “60 is the new 50” ?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Our culture in the United States looks at getting older as a bad thing. Do you think that influences that way people feel individually about getting older?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 your book Courageous Aging, you highlight many “misconceptions and myths” about getting older...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In the chapter two of your book, you ask people to give themselves an aging self-audit. What does that mean?</w:t>
      </w:r>
    </w:p>
    <w:p w:rsidR="00000000" w:rsidDel="00000000" w:rsidP="00000000" w:rsidRDefault="00000000" w:rsidRPr="00000000">
      <w:pPr>
        <w:contextualSpacing w:val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  <w:color w:val="222222"/>
          <w:highlight w:val="white"/>
          <w:u w:val="non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You also discuss “thinking about the mark you want to make” on the world. How do you go about making a mark?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